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ind w:firstLine="883" w:firstLineChars="200"/>
        <w:rPr>
          <w:rFonts w:cs="Times New Roman" w:asciiTheme="minorEastAsia" w:hAnsiTheme="minorEastAsia" w:eastAsiaTheme="minorEastAsia"/>
          <w:sz w:val="44"/>
          <w:szCs w:val="44"/>
        </w:rPr>
      </w:pPr>
      <w:bookmarkStart w:id="1" w:name="_GoBack"/>
      <w:bookmarkEnd w:id="1"/>
      <w:r>
        <w:rPr>
          <w:rFonts w:hint="eastAsia" w:cs="Times New Roman" w:asciiTheme="minorEastAsia" w:hAnsiTheme="minorEastAsia" w:eastAsiaTheme="minorEastAsia"/>
          <w:sz w:val="44"/>
          <w:szCs w:val="44"/>
        </w:rPr>
        <w:t>信息无障碍标识管理细则（试行）</w:t>
      </w:r>
    </w:p>
    <w:p>
      <w:pPr>
        <w:pStyle w:val="2"/>
        <w:spacing w:line="240" w:lineRule="auto"/>
      </w:pPr>
      <w:r>
        <w:rPr>
          <w:rFonts w:hint="eastAsia"/>
        </w:rPr>
        <w:t>引言</w:t>
      </w:r>
    </w:p>
    <w:p>
      <w:pPr>
        <w:ind w:firstLine="640"/>
        <w:rPr>
          <w:rFonts w:ascii="仿宋_GB2312" w:hAnsi="黑体" w:cs="黑体"/>
        </w:rPr>
      </w:pPr>
      <w:r>
        <w:rPr>
          <w:rFonts w:hint="eastAsia" w:ascii="仿宋_GB2312" w:hAnsi="黑体" w:cs="黑体"/>
        </w:rPr>
        <w:t>信息无障碍标识管理细则（以下简称“管理细则”）是根据</w:t>
      </w:r>
      <w:r>
        <w:rPr>
          <w:rFonts w:ascii="仿宋_GB2312" w:hAnsi="仿宋_GB2312" w:cs="仿宋_GB2312"/>
          <w:szCs w:val="32"/>
        </w:rPr>
        <w:t>《</w:t>
      </w:r>
      <w:r>
        <w:rPr>
          <w:rFonts w:hint="eastAsia" w:ascii="仿宋_GB2312" w:hAnsi="仿宋_GB2312" w:cs="仿宋_GB2312"/>
          <w:szCs w:val="32"/>
        </w:rPr>
        <w:t>工业和信息化部关于印发</w:t>
      </w:r>
      <w:r>
        <w:rPr>
          <w:rFonts w:ascii="仿宋_GB2312" w:hAnsi="仿宋_GB2312" w:cs="仿宋_GB2312"/>
          <w:szCs w:val="32"/>
        </w:rPr>
        <w:t>互联网应用适老化及无障碍改造专项行动</w:t>
      </w:r>
      <w:r>
        <w:rPr>
          <w:rFonts w:hint="eastAsia" w:ascii="仿宋_GB2312" w:hAnsi="仿宋_GB2312" w:cs="仿宋_GB2312"/>
          <w:szCs w:val="32"/>
        </w:rPr>
        <w:t>方案的通知</w:t>
      </w:r>
      <w:r>
        <w:rPr>
          <w:rFonts w:ascii="仿宋_GB2312" w:hAnsi="仿宋_GB2312" w:cs="仿宋_GB2312"/>
          <w:szCs w:val="32"/>
        </w:rPr>
        <w:t>》</w:t>
      </w:r>
      <w:r>
        <w:rPr>
          <w:rFonts w:hint="eastAsia" w:ascii="仿宋_GB2312" w:hAnsi="仿宋_GB2312" w:cs="仿宋_GB2312"/>
          <w:szCs w:val="32"/>
        </w:rPr>
        <w:t>（</w:t>
      </w:r>
      <w:r>
        <w:rPr>
          <w:rFonts w:ascii="仿宋_GB2312" w:hAnsi="仿宋_GB2312" w:cs="仿宋_GB2312"/>
          <w:szCs w:val="32"/>
        </w:rPr>
        <w:t>工信部信管</w:t>
      </w:r>
      <w:r>
        <w:rPr>
          <w:rFonts w:hint="eastAsia" w:ascii="仿宋_GB2312" w:hAnsi="仿宋_GB2312" w:cs="仿宋_GB2312"/>
          <w:szCs w:val="32"/>
        </w:rPr>
        <w:t>〔</w:t>
      </w:r>
      <w:r>
        <w:rPr>
          <w:rFonts w:ascii="仿宋_GB2312" w:hAnsi="仿宋_GB2312" w:cs="仿宋_GB2312"/>
          <w:szCs w:val="32"/>
        </w:rPr>
        <w:t>2020</w:t>
      </w:r>
      <w:r>
        <w:rPr>
          <w:rFonts w:hint="eastAsia" w:ascii="仿宋_GB2312" w:hAnsi="仿宋_GB2312" w:cs="仿宋_GB2312"/>
          <w:szCs w:val="32"/>
        </w:rPr>
        <w:t>〕200</w:t>
      </w:r>
      <w:r>
        <w:rPr>
          <w:rFonts w:ascii="仿宋_GB2312" w:hAnsi="仿宋_GB2312" w:cs="仿宋_GB2312"/>
          <w:szCs w:val="32"/>
        </w:rPr>
        <w:t>号)</w:t>
      </w:r>
      <w:r>
        <w:rPr>
          <w:rFonts w:hint="eastAsia" w:ascii="仿宋_GB2312" w:hAnsi="仿宋_GB2312" w:cs="仿宋_GB2312"/>
          <w:szCs w:val="32"/>
        </w:rPr>
        <w:t>与</w:t>
      </w:r>
      <w:r>
        <w:rPr>
          <w:rFonts w:hint="eastAsia" w:ascii="仿宋_GB2312" w:hAnsi="黑体" w:cs="黑体"/>
        </w:rPr>
        <w:t>《工业和信息化部办公厅关于进一步抓好互联网应用适老化及无障碍改造专项行动实施工作的通知》（工信厅信管函〔2021〕67号）的原则和要求，为细化信息无障碍标识授予要求和管理过程而制定的。</w:t>
      </w:r>
    </w:p>
    <w:p>
      <w:pPr>
        <w:pStyle w:val="2"/>
        <w:numPr>
          <w:ilvl w:val="0"/>
          <w:numId w:val="1"/>
        </w:numPr>
        <w:spacing w:line="240" w:lineRule="auto"/>
      </w:pPr>
      <w:r>
        <w:rPr>
          <w:rFonts w:hint="eastAsia"/>
        </w:rPr>
        <w:t>适用范围</w:t>
      </w:r>
    </w:p>
    <w:p>
      <w:pPr>
        <w:ind w:firstLine="640"/>
        <w:rPr>
          <w:rFonts w:hint="eastAsia" w:ascii="仿宋_GB2312" w:hAnsi="黑体" w:cs="黑体"/>
        </w:rPr>
      </w:pPr>
      <w:r>
        <w:rPr>
          <w:rFonts w:hint="eastAsia" w:ascii="仿宋_GB2312" w:hAnsi="黑体" w:cs="黑体"/>
        </w:rPr>
        <w:t>本细则适用于互联网网站</w:t>
      </w:r>
      <w:r>
        <w:rPr>
          <w:rFonts w:hint="eastAsia" w:ascii="仿宋_GB2312" w:hAnsi="黑体" w:cs="黑体"/>
          <w:lang w:val="en-US" w:eastAsia="zh-CN"/>
        </w:rPr>
        <w:t>或</w:t>
      </w:r>
      <w:r>
        <w:rPr>
          <w:rFonts w:hint="eastAsia" w:ascii="仿宋_GB2312" w:hAnsi="黑体" w:cs="黑体"/>
        </w:rPr>
        <w:t>移动互联网应用（以下简称“网站</w:t>
      </w:r>
      <w:r>
        <w:rPr>
          <w:rFonts w:hint="eastAsia" w:ascii="仿宋_GB2312" w:hAnsi="黑体" w:cs="黑体"/>
          <w:lang w:val="en-US" w:eastAsia="zh-CN"/>
        </w:rPr>
        <w:t>或</w:t>
      </w:r>
      <w:r>
        <w:rPr>
          <w:rFonts w:hint="eastAsia" w:ascii="仿宋_GB2312" w:hAnsi="黑体" w:cs="黑体"/>
        </w:rPr>
        <w:t>APP”）被授予的信息无障碍标识的管理。</w:t>
      </w:r>
    </w:p>
    <w:p>
      <w:pPr>
        <w:pStyle w:val="2"/>
        <w:numPr>
          <w:ilvl w:val="0"/>
          <w:numId w:val="1"/>
        </w:numPr>
        <w:spacing w:line="240" w:lineRule="auto"/>
      </w:pPr>
      <w:r>
        <w:rPr>
          <w:rFonts w:hint="eastAsia"/>
        </w:rPr>
        <w:t>授予依据</w:t>
      </w:r>
    </w:p>
    <w:p>
      <w:pPr>
        <w:ind w:firstLine="640"/>
        <w:rPr>
          <w:rFonts w:ascii="仿宋_GB2312" w:hAnsi="黑体" w:cs="黑体"/>
        </w:rPr>
      </w:pPr>
      <w:r>
        <w:rPr>
          <w:rFonts w:hint="eastAsia" w:ascii="仿宋_GB2312" w:hAnsi="黑体" w:cs="黑体"/>
        </w:rPr>
        <w:t>根据《工业和信息化部办公厅关于进一步抓好互联网应用适老化及无障碍改造专项行动实施工作的通知》要求，</w:t>
      </w:r>
      <w:r>
        <w:rPr>
          <w:rFonts w:hint="eastAsia" w:ascii="仿宋_GB2312" w:hAnsi="黑体" w:cs="黑体"/>
          <w:u w:val="none"/>
        </w:rPr>
        <w:t>由中国互联网协会、中国信息通信研究院（以下简称“标识授予机构”）分别对适老化及无障碍改造评测合格的网站</w:t>
      </w:r>
      <w:r>
        <w:rPr>
          <w:rFonts w:hint="eastAsia" w:ascii="仿宋_GB2312" w:hAnsi="黑体" w:cs="黑体"/>
          <w:u w:val="none"/>
          <w:lang w:val="en-US" w:eastAsia="zh-CN"/>
        </w:rPr>
        <w:t>或</w:t>
      </w:r>
      <w:r>
        <w:rPr>
          <w:rFonts w:hint="eastAsia" w:ascii="仿宋_GB2312" w:hAnsi="黑体" w:cs="黑体"/>
          <w:u w:val="none"/>
        </w:rPr>
        <w:t>APP，授予信息无障碍标识。</w:t>
      </w:r>
    </w:p>
    <w:p>
      <w:pPr>
        <w:pStyle w:val="2"/>
        <w:numPr>
          <w:ilvl w:val="0"/>
          <w:numId w:val="1"/>
        </w:numPr>
        <w:spacing w:line="240" w:lineRule="auto"/>
      </w:pPr>
      <w:r>
        <w:rPr>
          <w:rFonts w:hint="eastAsia"/>
        </w:rPr>
        <w:t>具体要求</w:t>
      </w:r>
    </w:p>
    <w:p>
      <w:pPr>
        <w:pStyle w:val="3"/>
        <w:numPr>
          <w:ilvl w:val="0"/>
          <w:numId w:val="2"/>
        </w:numPr>
        <w:spacing w:line="240" w:lineRule="auto"/>
      </w:pPr>
      <w:r>
        <w:rPr>
          <w:rFonts w:hint="eastAsia"/>
        </w:rPr>
        <w:t>标识的样式</w:t>
      </w:r>
    </w:p>
    <w:p>
      <w:pPr>
        <w:ind w:firstLine="640"/>
      </w:pPr>
      <w:r>
        <w:rPr>
          <w:rFonts w:hint="eastAsia" w:ascii="仿宋_GB2312" w:hAnsi="黑体" w:cs="黑体"/>
        </w:rPr>
        <w:t>信息无障碍标识样式见下图，可成比例放大或缩小，应清晰可辨。</w:t>
      </w:r>
    </w:p>
    <w:p>
      <w:pPr>
        <w:tabs>
          <w:tab w:val="left" w:pos="2107"/>
        </w:tabs>
        <w:jc w:val="center"/>
        <w:rPr>
          <w:rFonts w:ascii="仿宋_GB2312" w:hAnsi="黑体" w:cs="黑体"/>
          <w:szCs w:val="32"/>
        </w:rPr>
      </w:pPr>
      <w:r>
        <w:rPr>
          <w:rFonts w:ascii="仿宋_GB2312" w:hAnsi="黑体" w:cs="黑体"/>
        </w:rPr>
        <w:drawing>
          <wp:inline distT="0" distB="0" distL="0" distR="0">
            <wp:extent cx="2562225" cy="1990725"/>
            <wp:effectExtent l="0" t="0" r="1333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62225" cy="1990725"/>
                    </a:xfrm>
                    <a:prstGeom prst="rect">
                      <a:avLst/>
                    </a:prstGeom>
                    <a:noFill/>
                    <a:ln>
                      <a:noFill/>
                    </a:ln>
                  </pic:spPr>
                </pic:pic>
              </a:graphicData>
            </a:graphic>
          </wp:inline>
        </w:drawing>
      </w:r>
    </w:p>
    <w:p>
      <w:pPr>
        <w:pStyle w:val="3"/>
        <w:numPr>
          <w:ilvl w:val="0"/>
          <w:numId w:val="2"/>
        </w:numPr>
        <w:spacing w:line="240" w:lineRule="auto"/>
      </w:pPr>
      <w:r>
        <w:rPr>
          <w:rFonts w:hint="eastAsia"/>
        </w:rPr>
        <w:t>标识有效期</w:t>
      </w:r>
    </w:p>
    <w:p>
      <w:pPr>
        <w:ind w:firstLine="640"/>
        <w:rPr>
          <w:rFonts w:ascii="仿宋_GB2312" w:hAnsi="黑体" w:cs="黑体"/>
        </w:rPr>
      </w:pPr>
      <w:r>
        <w:rPr>
          <w:rFonts w:hint="eastAsia" w:ascii="仿宋_GB2312" w:hAnsi="黑体" w:cs="黑体"/>
        </w:rPr>
        <w:t>信息无障碍标识的有效期为两年，网站或APP运营方可在有效期截止日期前60日内提交评测申请，通过评测后可延续信息无障碍标识有效期两年。超过规定期限未换发的信息无障碍标识自行失效，网站或APP运营方不得继续在网站或APP上进行展示。</w:t>
      </w:r>
    </w:p>
    <w:p>
      <w:pPr>
        <w:pStyle w:val="3"/>
        <w:numPr>
          <w:ilvl w:val="0"/>
          <w:numId w:val="2"/>
        </w:numPr>
        <w:spacing w:line="240" w:lineRule="auto"/>
      </w:pPr>
      <w:r>
        <w:rPr>
          <w:rFonts w:hint="eastAsia"/>
        </w:rPr>
        <w:t>标识的变更</w:t>
      </w:r>
    </w:p>
    <w:p>
      <w:pPr>
        <w:ind w:firstLine="640"/>
        <w:rPr>
          <w:rFonts w:ascii="仿宋_GB2312" w:hAnsi="黑体" w:cs="黑体"/>
        </w:rPr>
      </w:pPr>
      <w:r>
        <w:rPr>
          <w:rFonts w:hint="eastAsia" w:ascii="仿宋_GB2312" w:hAnsi="黑体" w:cs="黑体"/>
        </w:rPr>
        <w:t>出现下列情况之一时，获标识网站或APP运营方应向标识授予机构提交变更说明，必要时提出变更申请：</w:t>
      </w:r>
    </w:p>
    <w:p>
      <w:pPr>
        <w:numPr>
          <w:ilvl w:val="0"/>
          <w:numId w:val="3"/>
        </w:numPr>
        <w:ind w:firstLine="640"/>
        <w:rPr>
          <w:rFonts w:ascii="仿宋_GB2312" w:hAnsi="黑体" w:cs="黑体"/>
        </w:rPr>
      </w:pPr>
      <w:r>
        <w:rPr>
          <w:rFonts w:hint="eastAsia" w:ascii="仿宋_GB2312" w:hAnsi="黑体" w:cs="黑体"/>
        </w:rPr>
        <w:t>获标识网站或APP名称发生变更；</w:t>
      </w:r>
    </w:p>
    <w:p>
      <w:pPr>
        <w:numPr>
          <w:ilvl w:val="0"/>
          <w:numId w:val="3"/>
        </w:numPr>
        <w:ind w:firstLine="640"/>
        <w:rPr>
          <w:rFonts w:ascii="仿宋_GB2312" w:hAnsi="黑体" w:cs="黑体"/>
        </w:rPr>
      </w:pPr>
      <w:r>
        <w:rPr>
          <w:rFonts w:hint="eastAsia" w:ascii="仿宋_GB2312" w:hAnsi="黑体" w:cs="黑体"/>
        </w:rPr>
        <w:t>获标识APP大版本（主版本号）发生变更；</w:t>
      </w:r>
    </w:p>
    <w:p>
      <w:pPr>
        <w:numPr>
          <w:ilvl w:val="0"/>
          <w:numId w:val="3"/>
        </w:numPr>
        <w:ind w:firstLine="640"/>
        <w:rPr>
          <w:rFonts w:ascii="仿宋_GB2312" w:hAnsi="黑体" w:cs="黑体"/>
        </w:rPr>
      </w:pPr>
      <w:r>
        <w:rPr>
          <w:rFonts w:hint="eastAsia" w:ascii="仿宋_GB2312" w:hAnsi="黑体" w:cs="黑体"/>
        </w:rPr>
        <w:t>获标识网站或APP适老化及无障碍改造范围扩大或缩小；</w:t>
      </w:r>
    </w:p>
    <w:p>
      <w:pPr>
        <w:numPr>
          <w:ilvl w:val="0"/>
          <w:numId w:val="3"/>
        </w:numPr>
        <w:ind w:firstLine="640"/>
        <w:rPr>
          <w:rFonts w:ascii="仿宋_GB2312" w:hAnsi="黑体" w:cs="黑体"/>
        </w:rPr>
      </w:pPr>
      <w:r>
        <w:rPr>
          <w:rFonts w:hint="eastAsia" w:ascii="仿宋_GB2312" w:hAnsi="黑体" w:cs="黑体"/>
        </w:rPr>
        <w:t>获标识网站或APP运营方名称、主体性质、注册地址等发生变更；</w:t>
      </w:r>
    </w:p>
    <w:p>
      <w:pPr>
        <w:numPr>
          <w:ilvl w:val="0"/>
          <w:numId w:val="3"/>
        </w:numPr>
        <w:ind w:firstLine="640"/>
        <w:rPr>
          <w:rFonts w:ascii="仿宋_GB2312" w:hAnsi="黑体" w:cs="黑体"/>
        </w:rPr>
      </w:pPr>
      <w:r>
        <w:rPr>
          <w:rFonts w:hint="eastAsia" w:ascii="仿宋_GB2312" w:hAnsi="黑体" w:cs="黑体"/>
        </w:rPr>
        <w:t>工业和信息化部、标识授予机构规定的其它事项发生变更时。</w:t>
      </w:r>
    </w:p>
    <w:p>
      <w:pPr>
        <w:ind w:firstLine="640"/>
        <w:rPr>
          <w:rFonts w:ascii="仿宋_GB2312" w:hAnsi="黑体" w:cs="黑体"/>
        </w:rPr>
      </w:pPr>
      <w:r>
        <w:rPr>
          <w:rFonts w:hint="eastAsia" w:ascii="仿宋_GB2312" w:hAnsi="黑体" w:cs="黑体"/>
        </w:rPr>
        <w:t>标识授予机构根据网站或APP运营方的变更说明或申请内容，对提供资料进行评价，确定是否可以批准变更。如需重新进行技术及用户满意度评测，应在评测通过后方能批准变更。</w:t>
      </w:r>
    </w:p>
    <w:p>
      <w:pPr>
        <w:pStyle w:val="3"/>
        <w:numPr>
          <w:ilvl w:val="0"/>
          <w:numId w:val="2"/>
        </w:numPr>
        <w:spacing w:line="240" w:lineRule="auto"/>
      </w:pPr>
      <w:r>
        <w:rPr>
          <w:rFonts w:hint="eastAsia"/>
        </w:rPr>
        <w:t>标识的</w:t>
      </w:r>
      <w:r>
        <w:rPr>
          <w:rFonts w:hint="eastAsia"/>
          <w:lang w:val="en-US" w:eastAsia="zh-CN"/>
        </w:rPr>
        <w:t>撤销</w:t>
      </w:r>
    </w:p>
    <w:p>
      <w:pPr>
        <w:ind w:firstLine="640"/>
        <w:rPr>
          <w:rFonts w:ascii="仿宋_GB2312" w:hAnsi="黑体" w:cs="黑体"/>
        </w:rPr>
      </w:pPr>
      <w:r>
        <w:rPr>
          <w:rFonts w:hint="eastAsia" w:ascii="仿宋_GB2312" w:hAnsi="黑体" w:cs="黑体"/>
        </w:rPr>
        <w:t>有下列情形之一的，标识授予机构有权暂停网站和APP的信息无障碍标识使用，并予以公布：</w:t>
      </w:r>
    </w:p>
    <w:p>
      <w:pPr>
        <w:ind w:firstLine="640"/>
        <w:rPr>
          <w:rFonts w:ascii="仿宋_GB2312" w:hAnsi="黑体" w:cs="黑体"/>
        </w:rPr>
      </w:pPr>
      <w:r>
        <w:rPr>
          <w:rFonts w:hint="eastAsia" w:ascii="仿宋_GB2312" w:hAnsi="黑体" w:cs="黑体"/>
        </w:rPr>
        <w:t>（1）国家有关主管部门发现获标识网站或APP存在安全等问题；</w:t>
      </w:r>
    </w:p>
    <w:p>
      <w:pPr>
        <w:ind w:firstLine="640"/>
        <w:rPr>
          <w:rFonts w:hint="eastAsia" w:ascii="仿宋_GB2312" w:hAnsi="黑体" w:cs="黑体"/>
        </w:rPr>
      </w:pPr>
      <w:r>
        <w:rPr>
          <w:rFonts w:hint="eastAsia" w:ascii="仿宋_GB2312" w:hAnsi="黑体" w:cs="黑体"/>
        </w:rPr>
        <w:t>（2）获标识网站或APP运营方存在个人信息安全等违规违法行为，且在有关主管部门规定</w:t>
      </w:r>
      <w:r>
        <w:rPr>
          <w:rFonts w:hint="eastAsia" w:ascii="仿宋_GB2312" w:hAnsi="黑体" w:cs="黑体"/>
          <w:lang w:val="en-US" w:eastAsia="zh-CN"/>
        </w:rPr>
        <w:t>的</w:t>
      </w:r>
      <w:r>
        <w:rPr>
          <w:rFonts w:hint="eastAsia" w:ascii="仿宋_GB2312" w:hAnsi="黑体" w:cs="黑体"/>
        </w:rPr>
        <w:t>期限内未及时改正；</w:t>
      </w:r>
    </w:p>
    <w:p>
      <w:pPr>
        <w:ind w:firstLine="640"/>
        <w:rPr>
          <w:rFonts w:ascii="仿宋_GB2312" w:hAnsi="黑体" w:cs="黑体"/>
        </w:rPr>
      </w:pPr>
      <w:r>
        <w:rPr>
          <w:rFonts w:hint="eastAsia" w:ascii="仿宋_GB2312" w:hAnsi="黑体" w:cs="黑体"/>
          <w:lang w:eastAsia="zh-CN"/>
        </w:rPr>
        <w:t>（</w:t>
      </w:r>
      <w:r>
        <w:rPr>
          <w:rFonts w:hint="eastAsia" w:ascii="仿宋_GB2312" w:hAnsi="黑体" w:cs="黑体"/>
          <w:lang w:val="en-US" w:eastAsia="zh-CN"/>
        </w:rPr>
        <w:t>3</w:t>
      </w:r>
      <w:r>
        <w:rPr>
          <w:rFonts w:hint="eastAsia" w:ascii="仿宋_GB2312" w:hAnsi="黑体" w:cs="黑体"/>
          <w:lang w:eastAsia="zh-CN"/>
        </w:rPr>
        <w:t>）</w:t>
      </w:r>
      <w:r>
        <w:rPr>
          <w:rFonts w:hint="eastAsia" w:ascii="仿宋_GB2312" w:hAnsi="黑体" w:cs="黑体"/>
        </w:rPr>
        <w:t>获标识网站或APP运营方在改造</w:t>
      </w:r>
      <w:r>
        <w:rPr>
          <w:rFonts w:hint="eastAsia" w:ascii="仿宋_GB2312" w:hAnsi="黑体" w:cs="黑体"/>
          <w:lang w:eastAsia="zh-CN"/>
        </w:rPr>
        <w:t>、</w:t>
      </w:r>
      <w:r>
        <w:rPr>
          <w:rFonts w:hint="eastAsia" w:ascii="仿宋_GB2312" w:hAnsi="黑体" w:cs="黑体"/>
          <w:lang w:val="en-US" w:eastAsia="zh-CN"/>
        </w:rPr>
        <w:t>运营等</w:t>
      </w:r>
      <w:r>
        <w:rPr>
          <w:rFonts w:hint="eastAsia" w:ascii="仿宋_GB2312" w:hAnsi="黑体" w:cs="黑体"/>
        </w:rPr>
        <w:t>过程中存在欺骗、隐瞒、违反承诺等不当行为，影响信息无障碍标识的有效性；</w:t>
      </w:r>
    </w:p>
    <w:p>
      <w:pPr>
        <w:ind w:firstLine="640"/>
        <w:rPr>
          <w:rFonts w:ascii="仿宋_GB2312" w:hAnsi="黑体" w:cs="黑体"/>
        </w:rPr>
      </w:pPr>
      <w:r>
        <w:rPr>
          <w:rFonts w:hint="eastAsia" w:ascii="仿宋_GB2312" w:hAnsi="黑体" w:cs="黑体"/>
        </w:rPr>
        <w:t>（</w:t>
      </w:r>
      <w:r>
        <w:rPr>
          <w:rFonts w:hint="eastAsia" w:ascii="仿宋_GB2312" w:hAnsi="黑体" w:cs="黑体"/>
          <w:lang w:val="en-US" w:eastAsia="zh-CN"/>
        </w:rPr>
        <w:t>4</w:t>
      </w:r>
      <w:r>
        <w:rPr>
          <w:rFonts w:hint="eastAsia" w:ascii="仿宋_GB2312" w:hAnsi="黑体" w:cs="黑体"/>
        </w:rPr>
        <w:t>）获标识网站或APP运营方在网站或APP发生</w:t>
      </w:r>
      <w:r>
        <w:rPr>
          <w:rFonts w:hint="eastAsia" w:ascii="仿宋_GB2312" w:hAnsi="黑体" w:cs="黑体"/>
          <w:lang w:val="en-US" w:eastAsia="zh-CN"/>
        </w:rPr>
        <w:t>管理</w:t>
      </w:r>
      <w:r>
        <w:rPr>
          <w:rFonts w:hint="eastAsia" w:ascii="仿宋_GB2312" w:hAnsi="黑体" w:cs="黑体"/>
        </w:rPr>
        <w:t>细则第3条规定的变更后，未及时向标识授予机构报告变更情况；</w:t>
      </w:r>
    </w:p>
    <w:p>
      <w:pPr>
        <w:ind w:firstLine="640"/>
        <w:rPr>
          <w:rFonts w:ascii="仿宋_GB2312" w:hAnsi="黑体" w:cs="黑体"/>
          <w:highlight w:val="yellow"/>
        </w:rPr>
      </w:pPr>
      <w:r>
        <w:rPr>
          <w:rFonts w:hint="eastAsia" w:ascii="仿宋_GB2312" w:hAnsi="黑体" w:cs="黑体"/>
        </w:rPr>
        <w:t>（</w:t>
      </w:r>
      <w:r>
        <w:rPr>
          <w:rFonts w:hint="eastAsia" w:ascii="仿宋_GB2312" w:hAnsi="黑体" w:cs="黑体"/>
          <w:lang w:val="en-US" w:eastAsia="zh-CN"/>
        </w:rPr>
        <w:t>5</w:t>
      </w:r>
      <w:r>
        <w:rPr>
          <w:rFonts w:hint="eastAsia" w:ascii="仿宋_GB2312" w:hAnsi="黑体" w:cs="黑体"/>
        </w:rPr>
        <w:t>）获标识网站或APP运营方存在未加施标识、标识加施位置不正确等违规使用信息无障碍标识情况；</w:t>
      </w:r>
    </w:p>
    <w:p>
      <w:pPr>
        <w:ind w:firstLine="640"/>
        <w:rPr>
          <w:rFonts w:ascii="仿宋_GB2312" w:hAnsi="黑体" w:cs="黑体"/>
        </w:rPr>
      </w:pPr>
      <w:r>
        <w:rPr>
          <w:rFonts w:hint="eastAsia" w:ascii="仿宋_GB2312" w:hAnsi="黑体" w:cs="黑体"/>
        </w:rPr>
        <w:t>（</w:t>
      </w:r>
      <w:r>
        <w:rPr>
          <w:rFonts w:hint="eastAsia" w:ascii="仿宋_GB2312" w:hAnsi="黑体" w:cs="黑体"/>
          <w:lang w:val="en-US" w:eastAsia="zh-CN"/>
        </w:rPr>
        <w:t>6</w:t>
      </w:r>
      <w:r>
        <w:rPr>
          <w:rFonts w:hint="eastAsia" w:ascii="仿宋_GB2312" w:hAnsi="黑体" w:cs="黑体"/>
        </w:rPr>
        <w:t>）</w:t>
      </w:r>
      <w:r>
        <w:rPr>
          <w:rFonts w:hint="eastAsia" w:ascii="仿宋_GB2312" w:hAnsi="黑体" w:cs="黑体"/>
          <w:lang w:val="en-US" w:eastAsia="zh-CN"/>
        </w:rPr>
        <w:t>互联网应用</w:t>
      </w:r>
      <w:r>
        <w:rPr>
          <w:rFonts w:hint="eastAsia" w:ascii="仿宋_GB2312" w:hAnsi="黑体" w:cs="黑体"/>
        </w:rPr>
        <w:t>适老化及无障碍改造标准或管理细则发生变化</w:t>
      </w:r>
      <w:r>
        <w:rPr>
          <w:rFonts w:hint="eastAsia" w:ascii="仿宋_GB2312" w:hAnsi="黑体" w:cs="黑体"/>
          <w:lang w:val="en-US" w:eastAsia="zh-CN"/>
        </w:rPr>
        <w:t>后</w:t>
      </w:r>
      <w:r>
        <w:rPr>
          <w:rFonts w:hint="eastAsia" w:ascii="仿宋_GB2312" w:hAnsi="黑体" w:cs="黑体"/>
        </w:rPr>
        <w:t>，获标识网站或APP运营方未按</w:t>
      </w:r>
      <w:r>
        <w:rPr>
          <w:rFonts w:hint="eastAsia" w:ascii="仿宋_GB2312" w:hAnsi="黑体" w:cs="黑体"/>
          <w:lang w:val="en-US" w:eastAsia="zh-CN"/>
        </w:rPr>
        <w:t>照工业和信息化部、</w:t>
      </w:r>
      <w:r>
        <w:rPr>
          <w:rFonts w:hint="eastAsia" w:ascii="仿宋_GB2312" w:hAnsi="黑体" w:cs="黑体"/>
        </w:rPr>
        <w:t>标识授予机构</w:t>
      </w:r>
      <w:r>
        <w:rPr>
          <w:rFonts w:hint="eastAsia" w:ascii="仿宋_GB2312" w:hAnsi="黑体" w:cs="黑体"/>
          <w:lang w:val="en-US" w:eastAsia="zh-CN"/>
        </w:rPr>
        <w:t>的</w:t>
      </w:r>
      <w:r>
        <w:rPr>
          <w:rFonts w:hint="eastAsia" w:ascii="仿宋_GB2312" w:hAnsi="黑体" w:cs="黑体"/>
        </w:rPr>
        <w:t>规定完成过渡转换；</w:t>
      </w:r>
    </w:p>
    <w:p>
      <w:pPr>
        <w:ind w:firstLine="640"/>
        <w:rPr>
          <w:rFonts w:hint="eastAsia" w:ascii="仿宋_GB2312" w:hAnsi="黑体" w:cs="黑体"/>
          <w:lang w:val="en-US" w:eastAsia="zh-CN"/>
        </w:rPr>
      </w:pPr>
      <w:r>
        <w:rPr>
          <w:rFonts w:hint="eastAsia" w:ascii="仿宋_GB2312" w:hAnsi="黑体" w:cs="黑体"/>
        </w:rPr>
        <w:t>（</w:t>
      </w:r>
      <w:r>
        <w:rPr>
          <w:rFonts w:hint="eastAsia" w:ascii="仿宋_GB2312" w:hAnsi="黑体" w:cs="黑体"/>
          <w:lang w:val="en-US" w:eastAsia="zh-CN"/>
        </w:rPr>
        <w:t>7</w:t>
      </w:r>
      <w:r>
        <w:rPr>
          <w:rFonts w:hint="eastAsia" w:ascii="仿宋_GB2312" w:hAnsi="黑体" w:cs="黑体"/>
        </w:rPr>
        <w:t>）获标识网站或APP运营方拒绝接受获标识后</w:t>
      </w:r>
      <w:r>
        <w:rPr>
          <w:rFonts w:hint="eastAsia" w:ascii="仿宋_GB2312" w:hAnsi="黑体" w:cs="黑体"/>
          <w:lang w:val="en-US" w:eastAsia="zh-CN"/>
        </w:rPr>
        <w:t>的</w:t>
      </w:r>
      <w:r>
        <w:rPr>
          <w:rFonts w:hint="eastAsia" w:ascii="仿宋_GB2312" w:hAnsi="黑体" w:cs="黑体"/>
        </w:rPr>
        <w:t>监督</w:t>
      </w:r>
      <w:r>
        <w:rPr>
          <w:rFonts w:hint="eastAsia" w:ascii="仿宋_GB2312" w:hAnsi="黑体" w:cs="黑体"/>
          <w:lang w:eastAsia="zh-CN"/>
        </w:rPr>
        <w:t>、</w:t>
      </w:r>
      <w:r>
        <w:rPr>
          <w:rFonts w:hint="eastAsia" w:ascii="仿宋_GB2312" w:hAnsi="黑体" w:cs="黑体"/>
        </w:rPr>
        <w:t>自我评价</w:t>
      </w:r>
      <w:r>
        <w:rPr>
          <w:rFonts w:hint="eastAsia" w:ascii="仿宋_GB2312" w:hAnsi="黑体" w:cs="黑体"/>
          <w:lang w:val="en-US" w:eastAsia="zh-CN"/>
        </w:rPr>
        <w:t>等管理程序；</w:t>
      </w:r>
    </w:p>
    <w:p>
      <w:pPr>
        <w:ind w:firstLine="640"/>
        <w:rPr>
          <w:rFonts w:hint="eastAsia" w:ascii="仿宋_GB2312" w:hAnsi="黑体" w:cs="黑体"/>
          <w:lang w:eastAsia="zh-CN"/>
        </w:rPr>
      </w:pPr>
      <w:r>
        <w:rPr>
          <w:rFonts w:hint="eastAsia" w:ascii="仿宋_GB2312" w:hAnsi="黑体" w:cs="黑体"/>
          <w:lang w:val="en-US" w:eastAsia="zh-CN"/>
        </w:rPr>
        <w:t>（8）</w:t>
      </w:r>
      <w:r>
        <w:rPr>
          <w:rFonts w:hint="eastAsia" w:ascii="仿宋_GB2312" w:hAnsi="黑体" w:cs="黑体"/>
        </w:rPr>
        <w:t>获标识网站或APP不再向老年人、残疾人</w:t>
      </w:r>
      <w:r>
        <w:rPr>
          <w:rFonts w:hint="eastAsia" w:ascii="仿宋_GB2312" w:hAnsi="黑体" w:cs="黑体"/>
          <w:lang w:val="en-US" w:eastAsia="zh-CN"/>
        </w:rPr>
        <w:t>等</w:t>
      </w:r>
      <w:r>
        <w:rPr>
          <w:rFonts w:hint="eastAsia" w:ascii="仿宋_GB2312" w:hAnsi="黑体" w:cs="黑体"/>
        </w:rPr>
        <w:t>用户提供服务</w:t>
      </w:r>
      <w:r>
        <w:rPr>
          <w:rFonts w:hint="eastAsia" w:ascii="仿宋_GB2312" w:hAnsi="黑体" w:cs="黑体"/>
          <w:lang w:eastAsia="zh-CN"/>
        </w:rPr>
        <w:t>。</w:t>
      </w:r>
    </w:p>
    <w:p>
      <w:pPr>
        <w:ind w:firstLine="640"/>
        <w:rPr>
          <w:rFonts w:hint="eastAsia" w:ascii="仿宋_GB2312" w:hAnsi="黑体" w:eastAsia="仿宋_GB2312" w:cs="黑体"/>
          <w:lang w:val="en-US" w:eastAsia="zh-CN"/>
        </w:rPr>
      </w:pPr>
      <w:r>
        <w:rPr>
          <w:rFonts w:hint="eastAsia" w:ascii="仿宋_GB2312" w:hAnsi="黑体" w:cs="黑体"/>
          <w:lang w:eastAsia="zh-CN"/>
        </w:rPr>
        <w:t>（</w:t>
      </w:r>
      <w:r>
        <w:rPr>
          <w:rFonts w:hint="eastAsia" w:ascii="仿宋_GB2312" w:hAnsi="黑体" w:cs="黑体"/>
          <w:lang w:val="en-US" w:eastAsia="zh-CN"/>
        </w:rPr>
        <w:t>9</w:t>
      </w:r>
      <w:r>
        <w:rPr>
          <w:rFonts w:hint="eastAsia" w:ascii="仿宋_GB2312" w:hAnsi="黑体" w:cs="黑体"/>
          <w:lang w:eastAsia="zh-CN"/>
        </w:rPr>
        <w:t>）</w:t>
      </w:r>
      <w:r>
        <w:rPr>
          <w:rFonts w:hint="eastAsia" w:ascii="仿宋_GB2312" w:hAnsi="黑体" w:cs="黑体"/>
        </w:rPr>
        <w:t>获标识网站或APP运营方</w:t>
      </w:r>
      <w:r>
        <w:rPr>
          <w:rFonts w:hint="eastAsia" w:ascii="仿宋_GB2312" w:hAnsi="黑体" w:cs="黑体"/>
          <w:lang w:val="en-US" w:eastAsia="zh-CN"/>
        </w:rPr>
        <w:t>主动</w:t>
      </w:r>
      <w:r>
        <w:rPr>
          <w:rFonts w:hint="eastAsia" w:ascii="仿宋_GB2312" w:hAnsi="黑体" w:cs="黑体"/>
        </w:rPr>
        <w:t>申请</w:t>
      </w:r>
      <w:r>
        <w:rPr>
          <w:rFonts w:hint="eastAsia" w:ascii="仿宋_GB2312" w:hAnsi="黑体" w:cs="黑体"/>
          <w:lang w:val="en-US" w:eastAsia="zh-CN"/>
        </w:rPr>
        <w:t>撤</w:t>
      </w:r>
      <w:r>
        <w:rPr>
          <w:rFonts w:hint="eastAsia" w:ascii="仿宋_GB2312" w:hAnsi="黑体" w:cs="黑体"/>
        </w:rPr>
        <w:t>销信息无障碍标识</w:t>
      </w:r>
      <w:r>
        <w:rPr>
          <w:rFonts w:hint="eastAsia" w:ascii="仿宋_GB2312" w:hAnsi="黑体" w:cs="黑体"/>
          <w:lang w:eastAsia="zh-CN"/>
        </w:rPr>
        <w:t>。</w:t>
      </w:r>
    </w:p>
    <w:p>
      <w:pPr>
        <w:ind w:firstLine="640"/>
        <w:rPr>
          <w:rFonts w:hint="eastAsia" w:ascii="仿宋_GB2312" w:hAnsi="黑体" w:cs="黑体"/>
        </w:rPr>
      </w:pPr>
      <w:r>
        <w:rPr>
          <w:rFonts w:hint="eastAsia" w:ascii="仿宋_GB2312" w:hAnsi="黑体" w:cs="黑体"/>
        </w:rPr>
        <w:t>（</w:t>
      </w:r>
      <w:r>
        <w:rPr>
          <w:rFonts w:hint="eastAsia" w:ascii="仿宋_GB2312" w:hAnsi="黑体" w:cs="黑体"/>
          <w:lang w:val="en-US" w:eastAsia="zh-CN"/>
        </w:rPr>
        <w:t>10</w:t>
      </w:r>
      <w:r>
        <w:rPr>
          <w:rFonts w:hint="eastAsia" w:ascii="仿宋_GB2312" w:hAnsi="黑体" w:cs="黑体"/>
        </w:rPr>
        <w:t>）其他依法应当</w:t>
      </w:r>
      <w:r>
        <w:rPr>
          <w:rFonts w:hint="eastAsia" w:ascii="仿宋_GB2312" w:hAnsi="黑体" w:cs="黑体"/>
          <w:lang w:val="en-US" w:eastAsia="zh-CN"/>
        </w:rPr>
        <w:t>撤销</w:t>
      </w:r>
      <w:r>
        <w:rPr>
          <w:rFonts w:hint="eastAsia" w:ascii="仿宋_GB2312" w:hAnsi="黑体" w:cs="黑体"/>
        </w:rPr>
        <w:t>的情形。</w:t>
      </w:r>
    </w:p>
    <w:p>
      <w:pPr>
        <w:ind w:firstLine="640"/>
        <w:rPr>
          <w:rFonts w:hint="default" w:ascii="仿宋_GB2312" w:hAnsi="黑体" w:eastAsia="仿宋_GB2312" w:cs="黑体"/>
          <w:lang w:val="en-US" w:eastAsia="zh-CN"/>
        </w:rPr>
      </w:pPr>
      <w:r>
        <w:rPr>
          <w:rFonts w:hint="eastAsia" w:ascii="仿宋_GB2312" w:hAnsi="黑体" w:cs="黑体"/>
        </w:rPr>
        <w:t>信息无障碍标识</w:t>
      </w:r>
      <w:r>
        <w:rPr>
          <w:rFonts w:hint="eastAsia" w:ascii="仿宋_GB2312" w:hAnsi="黑体" w:cs="黑体"/>
          <w:lang w:val="en-US" w:eastAsia="zh-CN"/>
        </w:rPr>
        <w:t>撤销</w:t>
      </w:r>
      <w:r>
        <w:rPr>
          <w:rFonts w:hint="eastAsia" w:ascii="仿宋_GB2312" w:hAnsi="黑体" w:cs="黑体"/>
        </w:rPr>
        <w:t>后，获标识网站或APP运营方应停止使用信息无障碍标识。</w:t>
      </w:r>
    </w:p>
    <w:p>
      <w:pPr>
        <w:pStyle w:val="3"/>
        <w:numPr>
          <w:ilvl w:val="0"/>
          <w:numId w:val="2"/>
        </w:numPr>
        <w:spacing w:line="240" w:lineRule="auto"/>
      </w:pPr>
      <w:r>
        <w:rPr>
          <w:rFonts w:hint="eastAsia"/>
        </w:rPr>
        <w:t>标识的使用和管理</w:t>
      </w:r>
    </w:p>
    <w:p>
      <w:pPr>
        <w:ind w:firstLine="640"/>
        <w:rPr>
          <w:rFonts w:ascii="仿宋_GB2312" w:hAnsi="黑体" w:cs="黑体"/>
        </w:rPr>
      </w:pPr>
      <w:r>
        <w:rPr>
          <w:rFonts w:hint="eastAsia" w:ascii="仿宋_GB2312" w:hAnsi="黑体" w:cs="黑体"/>
        </w:rPr>
        <w:t>（1）标识使用。获标识网站或APP运营方只能在申请适老化及无障碍改造评测的结果范围内使用信息无障碍标识，且与获标识网站或APP同时使用，不得单独使用，不应进行误导性宣传。</w:t>
      </w:r>
    </w:p>
    <w:p>
      <w:pPr>
        <w:ind w:firstLine="640"/>
        <w:rPr>
          <w:rFonts w:ascii="仿宋_GB2312" w:hAnsi="黑体" w:cs="黑体"/>
        </w:rPr>
      </w:pPr>
      <w:r>
        <w:rPr>
          <w:rFonts w:hint="eastAsia" w:ascii="仿宋_GB2312" w:hAnsi="黑体" w:cs="黑体"/>
        </w:rPr>
        <w:t>（2）标识管理。被撤销信息无障碍标识的网站或APP运营方如果继续使用信息无障碍标识，标识授予机构有权要求其承担造成的全部损失并承担法律责任。</w:t>
      </w:r>
    </w:p>
    <w:p>
      <w:pPr>
        <w:ind w:firstLine="640"/>
        <w:rPr>
          <w:rFonts w:ascii="仿宋_GB2312" w:hAnsi="黑体" w:cs="黑体"/>
        </w:rPr>
      </w:pPr>
      <w:r>
        <w:rPr>
          <w:rFonts w:hint="eastAsia" w:ascii="仿宋_GB2312" w:hAnsi="黑体" w:cs="黑体"/>
        </w:rPr>
        <w:t>（3）标识追溯。网站加施的信息无障碍标识链接指向“中国互联网适老化及无障碍标识管理服务平台”，APP加施的信息无障碍标识链接指向“</w:t>
      </w:r>
      <w:r>
        <w:rPr>
          <w:rFonts w:hint="eastAsia"/>
        </w:rPr>
        <w:t>信息无障碍平台</w:t>
      </w:r>
      <w:r>
        <w:rPr>
          <w:rFonts w:hint="eastAsia" w:ascii="仿宋_GB2312" w:hAnsi="黑体" w:cs="黑体"/>
        </w:rPr>
        <w:t>”，为网站或APP运营方、社会公众提供标识查询服务。</w:t>
      </w:r>
    </w:p>
    <w:p>
      <w:pPr>
        <w:pStyle w:val="3"/>
        <w:numPr>
          <w:ilvl w:val="0"/>
          <w:numId w:val="2"/>
        </w:numPr>
        <w:spacing w:line="240" w:lineRule="auto"/>
      </w:pPr>
      <w:r>
        <w:rPr>
          <w:rFonts w:hint="eastAsia"/>
        </w:rPr>
        <w:t>标识的加施位置</w:t>
      </w:r>
    </w:p>
    <w:p>
      <w:pPr>
        <w:numPr>
          <w:ilvl w:val="0"/>
          <w:numId w:val="4"/>
        </w:numPr>
        <w:ind w:firstLine="640"/>
        <w:rPr>
          <w:rFonts w:hint="eastAsia" w:ascii="仿宋_GB2312" w:hAnsi="黑体" w:cs="黑体"/>
        </w:rPr>
      </w:pPr>
      <w:r>
        <w:rPr>
          <w:rFonts w:hint="eastAsia" w:ascii="仿宋_GB2312" w:hAnsi="黑体" w:cs="黑体"/>
        </w:rPr>
        <w:t>申请并通过适老化及无障碍改造评测的</w:t>
      </w:r>
      <w:r>
        <w:rPr>
          <w:rFonts w:hint="eastAsia" w:ascii="仿宋_GB2312" w:hAnsi="黑体" w:cs="黑体"/>
          <w:u w:val="none"/>
        </w:rPr>
        <w:t>各网站，需在网站</w:t>
      </w:r>
      <w:r>
        <w:rPr>
          <w:rFonts w:hint="eastAsia" w:ascii="仿宋_GB2312" w:hAnsi="黑体" w:cs="黑体"/>
          <w:b/>
          <w:bCs/>
          <w:u w:val="none"/>
        </w:rPr>
        <w:t>首页底部显著位置</w:t>
      </w:r>
      <w:r>
        <w:rPr>
          <w:rFonts w:hint="eastAsia" w:ascii="仿宋_GB2312" w:hAnsi="黑体" w:cs="黑体"/>
          <w:u w:val="none"/>
        </w:rPr>
        <w:t>加施信息无障碍标识</w:t>
      </w:r>
      <w:r>
        <w:rPr>
          <w:rFonts w:hint="eastAsia" w:ascii="仿宋_GB2312" w:hAnsi="黑体" w:cs="黑体"/>
        </w:rPr>
        <w:t>；</w:t>
      </w:r>
    </w:p>
    <w:p>
      <w:pPr>
        <w:numPr>
          <w:ilvl w:val="0"/>
          <w:numId w:val="4"/>
        </w:numPr>
        <w:ind w:firstLine="640"/>
        <w:rPr>
          <w:rFonts w:ascii="仿宋_GB2312" w:hAnsi="黑体" w:cs="黑体"/>
        </w:rPr>
      </w:pPr>
      <w:r>
        <w:rPr>
          <w:rFonts w:hint="eastAsia" w:ascii="仿宋_GB2312" w:hAnsi="黑体" w:cs="黑体"/>
        </w:rPr>
        <w:t>申请并通过适老化及无障碍改造评测的</w:t>
      </w:r>
      <w:r>
        <w:rPr>
          <w:rFonts w:hint="eastAsia" w:ascii="仿宋_GB2312" w:hAnsi="黑体" w:cs="黑体"/>
          <w:b w:val="0"/>
          <w:bCs w:val="0"/>
          <w:u w:val="none"/>
        </w:rPr>
        <w:t>各APP，需在应用</w:t>
      </w:r>
      <w:r>
        <w:rPr>
          <w:rFonts w:hint="eastAsia" w:ascii="仿宋_GB2312" w:hAnsi="黑体" w:cs="黑体"/>
          <w:b/>
          <w:bCs/>
          <w:u w:val="none"/>
          <w:lang w:val="en-US" w:eastAsia="zh-CN"/>
        </w:rPr>
        <w:t>首屏首页</w:t>
      </w:r>
      <w:r>
        <w:rPr>
          <w:rFonts w:hint="eastAsia" w:ascii="仿宋_GB2312" w:hAnsi="黑体" w:cs="黑体"/>
          <w:b/>
          <w:bCs/>
          <w:u w:val="none"/>
        </w:rPr>
        <w:t>显著位置</w:t>
      </w:r>
      <w:r>
        <w:rPr>
          <w:rFonts w:hint="eastAsia" w:ascii="仿宋_GB2312" w:hAnsi="黑体" w:cs="黑体"/>
          <w:b w:val="0"/>
          <w:bCs w:val="0"/>
          <w:u w:val="none"/>
        </w:rPr>
        <w:t>加施信息无障碍标识</w:t>
      </w:r>
      <w:r>
        <w:rPr>
          <w:rFonts w:hint="eastAsia" w:ascii="仿宋_GB2312" w:hAnsi="黑体" w:cs="黑体"/>
        </w:rPr>
        <w:t>。</w:t>
      </w:r>
    </w:p>
    <w:p>
      <w:pPr>
        <w:pStyle w:val="2"/>
        <w:numPr>
          <w:ilvl w:val="0"/>
          <w:numId w:val="1"/>
        </w:numPr>
        <w:spacing w:line="240" w:lineRule="auto"/>
      </w:pPr>
      <w:r>
        <w:rPr>
          <w:rFonts w:hint="eastAsia"/>
        </w:rPr>
        <w:t>监督程序</w:t>
      </w:r>
    </w:p>
    <w:p>
      <w:pPr>
        <w:ind w:firstLine="640"/>
        <w:rPr>
          <w:rFonts w:ascii="仿宋_GB2312" w:hAnsi="黑体" w:cs="黑体"/>
        </w:rPr>
      </w:pPr>
      <w:r>
        <w:rPr>
          <w:rFonts w:hint="eastAsia" w:ascii="仿宋_GB2312" w:hAnsi="黑体" w:cs="黑体"/>
        </w:rPr>
        <w:t>标识授予机构应对获标识网站</w:t>
      </w:r>
      <w:r>
        <w:rPr>
          <w:rFonts w:hint="eastAsia" w:ascii="仿宋_GB2312" w:hAnsi="黑体" w:cs="黑体"/>
          <w:lang w:val="en-US" w:eastAsia="zh-CN"/>
        </w:rPr>
        <w:t>或</w:t>
      </w:r>
      <w:r>
        <w:rPr>
          <w:rFonts w:hint="eastAsia" w:ascii="仿宋_GB2312" w:hAnsi="黑体" w:cs="黑体"/>
        </w:rPr>
        <w:t>APP以及其运营方实施持续监督，监督方式包括日常监督和专项监督。</w:t>
      </w:r>
    </w:p>
    <w:p>
      <w:pPr>
        <w:pStyle w:val="3"/>
        <w:numPr>
          <w:ilvl w:val="0"/>
          <w:numId w:val="5"/>
        </w:numPr>
        <w:spacing w:line="240" w:lineRule="auto"/>
      </w:pPr>
      <w:r>
        <w:rPr>
          <w:rFonts w:hint="eastAsia"/>
        </w:rPr>
        <w:t>日常监督</w:t>
      </w:r>
    </w:p>
    <w:p>
      <w:pPr>
        <w:ind w:firstLine="640"/>
        <w:rPr>
          <w:rFonts w:ascii="仿宋_GB2312" w:hAnsi="黑体" w:cs="黑体"/>
        </w:rPr>
      </w:pPr>
      <w:r>
        <w:rPr>
          <w:rFonts w:hint="eastAsia" w:ascii="仿宋_GB2312" w:hAnsi="黑体" w:cs="黑体"/>
        </w:rPr>
        <w:t>标识授予机构应对获标识网站</w:t>
      </w:r>
      <w:r>
        <w:rPr>
          <w:rFonts w:hint="eastAsia" w:ascii="仿宋_GB2312" w:hAnsi="黑体" w:cs="黑体"/>
          <w:lang w:val="en-US" w:eastAsia="zh-CN"/>
        </w:rPr>
        <w:t>或</w:t>
      </w:r>
      <w:r>
        <w:rPr>
          <w:rFonts w:hint="eastAsia" w:ascii="仿宋_GB2312" w:hAnsi="黑体" w:cs="黑体"/>
        </w:rPr>
        <w:t>APP的运营方持续实施日常监督</w:t>
      </w:r>
      <w:r>
        <w:rPr>
          <w:rFonts w:hint="eastAsia" w:ascii="仿宋_GB2312" w:hAnsi="黑体" w:cs="黑体"/>
          <w:lang w:eastAsia="zh-CN"/>
        </w:rPr>
        <w:t>。</w:t>
      </w:r>
      <w:r>
        <w:rPr>
          <w:rFonts w:hint="eastAsia" w:ascii="仿宋_GB2312" w:hAnsi="黑体" w:cs="黑体"/>
        </w:rPr>
        <w:t>日常监督的内容至少包括以下方面：</w:t>
      </w:r>
    </w:p>
    <w:p>
      <w:pPr>
        <w:ind w:firstLine="640"/>
        <w:rPr>
          <w:rFonts w:ascii="仿宋_GB2312" w:hAnsi="黑体" w:cs="黑体"/>
        </w:rPr>
      </w:pPr>
      <w:r>
        <w:rPr>
          <w:rFonts w:hint="eastAsia" w:ascii="仿宋_GB2312" w:hAnsi="黑体" w:cs="黑体"/>
        </w:rPr>
        <w:t>（1）获标识网站或APP一致性检查；</w:t>
      </w:r>
    </w:p>
    <w:p>
      <w:pPr>
        <w:ind w:firstLine="640"/>
        <w:rPr>
          <w:rFonts w:ascii="仿宋_GB2312" w:hAnsi="黑体" w:cs="黑体"/>
        </w:rPr>
      </w:pPr>
      <w:r>
        <w:rPr>
          <w:rFonts w:hint="eastAsia" w:ascii="仿宋_GB2312" w:hAnsi="黑体" w:cs="黑体"/>
        </w:rPr>
        <w:t>（2）获标识网站或APP的更新情况；</w:t>
      </w:r>
    </w:p>
    <w:p>
      <w:pPr>
        <w:ind w:firstLine="640"/>
        <w:rPr>
          <w:rFonts w:ascii="仿宋_GB2312" w:hAnsi="黑体" w:cs="黑体"/>
        </w:rPr>
      </w:pPr>
      <w:r>
        <w:rPr>
          <w:rFonts w:hint="eastAsia" w:ascii="仿宋_GB2312" w:hAnsi="黑体" w:cs="黑体"/>
        </w:rPr>
        <w:t>（3）信息无障碍标识的使用情况；</w:t>
      </w:r>
    </w:p>
    <w:p>
      <w:pPr>
        <w:ind w:firstLine="640"/>
        <w:rPr>
          <w:rFonts w:ascii="仿宋_GB2312" w:hAnsi="黑体" w:cs="黑体"/>
        </w:rPr>
      </w:pPr>
      <w:r>
        <w:rPr>
          <w:rFonts w:hint="eastAsia" w:ascii="仿宋_GB2312" w:hAnsi="黑体" w:cs="黑体"/>
        </w:rPr>
        <w:t>（4）网站或APP运营方开展自我评价的情况；</w:t>
      </w:r>
    </w:p>
    <w:p>
      <w:pPr>
        <w:ind w:firstLine="640"/>
        <w:rPr>
          <w:rFonts w:ascii="仿宋_GB2312" w:hAnsi="黑体" w:cs="黑体"/>
        </w:rPr>
      </w:pPr>
      <w:r>
        <w:rPr>
          <w:rFonts w:hint="eastAsia" w:ascii="仿宋_GB2312" w:hAnsi="黑体" w:cs="黑体"/>
        </w:rPr>
        <w:t>（5）获标识网站或APP被用户举报投诉和社会媒体曝光情况；</w:t>
      </w:r>
    </w:p>
    <w:p>
      <w:pPr>
        <w:ind w:firstLine="640"/>
        <w:rPr>
          <w:rFonts w:ascii="仿宋_GB2312" w:hAnsi="黑体" w:cs="黑体"/>
        </w:rPr>
      </w:pPr>
      <w:r>
        <w:rPr>
          <w:rFonts w:hint="eastAsia" w:ascii="仿宋_GB2312" w:hAnsi="黑体" w:cs="黑体"/>
        </w:rPr>
        <w:t>（6）其他影响获标识网站或APP在适老化与无障碍功能改造持续符合标准规范要求的情况。</w:t>
      </w:r>
    </w:p>
    <w:p>
      <w:pPr>
        <w:pStyle w:val="3"/>
        <w:numPr>
          <w:ilvl w:val="0"/>
          <w:numId w:val="5"/>
        </w:numPr>
        <w:spacing w:line="240" w:lineRule="auto"/>
      </w:pPr>
      <w:r>
        <w:rPr>
          <w:rFonts w:hint="eastAsia"/>
        </w:rPr>
        <w:t>专项监督</w:t>
      </w:r>
    </w:p>
    <w:p>
      <w:pPr>
        <w:ind w:firstLine="640"/>
        <w:rPr>
          <w:rFonts w:ascii="仿宋_GB2312" w:hAnsi="黑体" w:cs="黑体"/>
        </w:rPr>
      </w:pPr>
      <w:r>
        <w:rPr>
          <w:rFonts w:hint="eastAsia" w:ascii="仿宋_GB2312" w:hAnsi="黑体" w:cs="黑体"/>
        </w:rPr>
        <w:t>出现</w:t>
      </w:r>
      <w:r>
        <w:rPr>
          <w:rFonts w:hint="eastAsia" w:ascii="仿宋_GB2312" w:hAnsi="黑体" w:cs="黑体"/>
          <w:lang w:val="en-US" w:eastAsia="zh-CN"/>
        </w:rPr>
        <w:t>下列</w:t>
      </w:r>
      <w:r>
        <w:rPr>
          <w:rFonts w:hint="eastAsia" w:ascii="仿宋_GB2312" w:hAnsi="黑体" w:cs="黑体"/>
        </w:rPr>
        <w:t>情</w:t>
      </w:r>
      <w:r>
        <w:rPr>
          <w:rFonts w:hint="eastAsia" w:ascii="仿宋_GB2312" w:hAnsi="黑体" w:cs="黑体"/>
          <w:lang w:val="en-US" w:eastAsia="zh-CN"/>
        </w:rPr>
        <w:t>况时</w:t>
      </w:r>
      <w:r>
        <w:rPr>
          <w:rFonts w:hint="eastAsia" w:ascii="仿宋_GB2312" w:hAnsi="黑体" w:cs="黑体"/>
        </w:rPr>
        <w:t>，标识授予机构应启动专项监督：</w:t>
      </w:r>
    </w:p>
    <w:p>
      <w:pPr>
        <w:ind w:firstLine="640"/>
        <w:rPr>
          <w:rFonts w:ascii="仿宋_GB2312" w:hAnsi="黑体" w:cs="黑体"/>
        </w:rPr>
      </w:pPr>
      <w:r>
        <w:rPr>
          <w:rFonts w:hint="eastAsia" w:ascii="仿宋_GB2312" w:hAnsi="黑体" w:cs="黑体"/>
        </w:rPr>
        <w:t>（1）用户举报投诉、媒体曝光、行业通报等涉及获标识网站或APP存在适老化及无障碍改造方面的问题，并经查实获标识网站或APP运营方</w:t>
      </w:r>
      <w:r>
        <w:rPr>
          <w:rFonts w:hint="eastAsia" w:ascii="仿宋_GB2312" w:hAnsi="黑体" w:cs="黑体"/>
          <w:lang w:val="en-US" w:eastAsia="zh-CN"/>
        </w:rPr>
        <w:t>确</w:t>
      </w:r>
      <w:r>
        <w:rPr>
          <w:rFonts w:hint="eastAsia" w:ascii="仿宋_GB2312" w:hAnsi="黑体" w:cs="黑体"/>
        </w:rPr>
        <w:t>有责任时；</w:t>
      </w:r>
    </w:p>
    <w:p>
      <w:pPr>
        <w:ind w:firstLine="640"/>
        <w:rPr>
          <w:rFonts w:ascii="仿宋_GB2312" w:hAnsi="黑体" w:cs="黑体"/>
        </w:rPr>
      </w:pPr>
      <w:r>
        <w:rPr>
          <w:rFonts w:hint="eastAsia" w:ascii="仿宋_GB2312" w:hAnsi="黑体" w:cs="黑体"/>
        </w:rPr>
        <w:t>（2）获标识网站或APP运营方因组织架构、服务模式等发生重大变更，或发生破产并购等可能影响网站或APP信息无障碍标识特性符合性时；</w:t>
      </w:r>
    </w:p>
    <w:p>
      <w:pPr>
        <w:ind w:firstLine="640"/>
        <w:rPr>
          <w:rFonts w:ascii="仿宋_GB2312" w:hAnsi="黑体" w:cs="黑体"/>
        </w:rPr>
      </w:pPr>
      <w:r>
        <w:rPr>
          <w:rFonts w:hint="eastAsia" w:ascii="仿宋_GB2312" w:hAnsi="黑体" w:cs="黑体"/>
        </w:rPr>
        <w:t>（3）标识授予机构根据日常监督结果，对获标识网站或APP与本管理细则中规定的标准要求的符合性提出具体质疑时。</w:t>
      </w:r>
    </w:p>
    <w:p>
      <w:pPr>
        <w:ind w:firstLine="640"/>
        <w:rPr>
          <w:rFonts w:ascii="仿宋_GB2312" w:hAnsi="黑体" w:cs="黑体"/>
        </w:rPr>
      </w:pPr>
      <w:r>
        <w:rPr>
          <w:rFonts w:hint="eastAsia" w:ascii="仿宋_GB2312" w:hAnsi="黑体" w:cs="黑体"/>
        </w:rPr>
        <w:t>专项监督应对上述情形进行深入调查，并对获标识网站或APP持续符合性进行全面审核，必要时可进行技术验证。</w:t>
      </w:r>
    </w:p>
    <w:p>
      <w:pPr>
        <w:ind w:firstLine="640"/>
        <w:rPr>
          <w:rFonts w:ascii="仿宋_GB2312" w:hAnsi="黑体" w:cs="黑体"/>
        </w:rPr>
      </w:pPr>
      <w:r>
        <w:rPr>
          <w:rFonts w:hint="eastAsia" w:ascii="仿宋_GB2312" w:hAnsi="黑体" w:cs="黑体"/>
        </w:rPr>
        <w:t>标识授予机构可采取事先不通知的方式对获标识网站或APP运营方实施专项监督。</w:t>
      </w:r>
    </w:p>
    <w:p>
      <w:pPr>
        <w:pStyle w:val="3"/>
        <w:numPr>
          <w:ilvl w:val="0"/>
          <w:numId w:val="5"/>
        </w:numPr>
        <w:spacing w:line="240" w:lineRule="auto"/>
      </w:pPr>
      <w:r>
        <w:rPr>
          <w:rFonts w:hint="eastAsia"/>
        </w:rPr>
        <w:t>监督结果处理</w:t>
      </w:r>
    </w:p>
    <w:p>
      <w:pPr>
        <w:ind w:firstLine="640"/>
        <w:rPr>
          <w:rFonts w:ascii="仿宋_GB2312" w:hAnsi="黑体" w:cs="黑体"/>
        </w:rPr>
      </w:pPr>
      <w:bookmarkStart w:id="0" w:name="_Hlk87342301"/>
      <w:r>
        <w:rPr>
          <w:rFonts w:hint="eastAsia" w:ascii="仿宋_GB2312" w:hAnsi="黑体" w:cs="黑体"/>
        </w:rPr>
        <w:t>获标识网站或APP于监督中发现不符合时，标识授予机构应要求获标识网站或APP运营方在限期内进行整改，并对整改结果进行验证</w:t>
      </w:r>
      <w:bookmarkEnd w:id="0"/>
      <w:r>
        <w:rPr>
          <w:rFonts w:hint="eastAsia" w:ascii="仿宋_GB2312" w:hAnsi="黑体" w:cs="黑体"/>
        </w:rPr>
        <w:t>。未在规定期限内完成整改或整改结果未通过验证的，按照标识管理相应条目规定处置。</w:t>
      </w:r>
    </w:p>
    <w:p>
      <w:pPr>
        <w:pStyle w:val="2"/>
        <w:numPr>
          <w:ilvl w:val="0"/>
          <w:numId w:val="6"/>
        </w:numPr>
        <w:spacing w:line="240" w:lineRule="auto"/>
      </w:pPr>
      <w:r>
        <w:rPr>
          <w:rFonts w:hint="eastAsia"/>
        </w:rPr>
        <w:t>相关责任</w:t>
      </w:r>
    </w:p>
    <w:p>
      <w:pPr>
        <w:ind w:firstLine="640"/>
        <w:rPr>
          <w:rFonts w:ascii="仿宋_GB2312" w:hAnsi="黑体" w:cs="黑体"/>
        </w:rPr>
      </w:pPr>
      <w:r>
        <w:rPr>
          <w:rFonts w:hint="eastAsia" w:ascii="仿宋_GB2312" w:hAnsi="黑体" w:cs="黑体"/>
        </w:rPr>
        <w:t>获标识网站或APP运营方应对其所提交的申请资料及产品的真实性、合法性负责，并对获标识网站或APP持续符合相关标准规范要求负主体责任。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647054"/>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10E6D"/>
    <w:multiLevelType w:val="singleLevel"/>
    <w:tmpl w:val="A3810E6D"/>
    <w:lvl w:ilvl="0" w:tentative="0">
      <w:start w:val="1"/>
      <w:numFmt w:val="decimal"/>
      <w:suff w:val="nothing"/>
      <w:lvlText w:val="（%1）"/>
      <w:lvlJc w:val="left"/>
    </w:lvl>
  </w:abstractNum>
  <w:abstractNum w:abstractNumId="1">
    <w:nsid w:val="DA40FECC"/>
    <w:multiLevelType w:val="singleLevel"/>
    <w:tmpl w:val="DA40FECC"/>
    <w:lvl w:ilvl="0" w:tentative="0">
      <w:start w:val="1"/>
      <w:numFmt w:val="decimal"/>
      <w:lvlText w:val="%1."/>
      <w:lvlJc w:val="left"/>
      <w:pPr>
        <w:ind w:left="425" w:hanging="425"/>
      </w:pPr>
      <w:rPr>
        <w:rFonts w:hint="default"/>
      </w:rPr>
    </w:lvl>
  </w:abstractNum>
  <w:abstractNum w:abstractNumId="2">
    <w:nsid w:val="2B979EC6"/>
    <w:multiLevelType w:val="singleLevel"/>
    <w:tmpl w:val="2B979EC6"/>
    <w:lvl w:ilvl="0" w:tentative="0">
      <w:start w:val="1"/>
      <w:numFmt w:val="decimal"/>
      <w:suff w:val="nothing"/>
      <w:lvlText w:val="（%1）"/>
      <w:lvlJc w:val="left"/>
    </w:lvl>
  </w:abstractNum>
  <w:abstractNum w:abstractNumId="3">
    <w:nsid w:val="2DBA6B6D"/>
    <w:multiLevelType w:val="multilevel"/>
    <w:tmpl w:val="2DBA6B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940EA3"/>
    <w:multiLevelType w:val="multilevel"/>
    <w:tmpl w:val="3A940EA3"/>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AFE3F92"/>
    <w:multiLevelType w:val="multilevel"/>
    <w:tmpl w:val="4AFE3F92"/>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562D1ACF"/>
    <w:rsid w:val="00087491"/>
    <w:rsid w:val="00087CEA"/>
    <w:rsid w:val="00095F84"/>
    <w:rsid w:val="000A414B"/>
    <w:rsid w:val="000C5BCA"/>
    <w:rsid w:val="000D2DAD"/>
    <w:rsid w:val="000D7780"/>
    <w:rsid w:val="00100733"/>
    <w:rsid w:val="001728CF"/>
    <w:rsid w:val="001A3EC9"/>
    <w:rsid w:val="001C0845"/>
    <w:rsid w:val="001C3373"/>
    <w:rsid w:val="00221E89"/>
    <w:rsid w:val="002C2EA3"/>
    <w:rsid w:val="002C45BB"/>
    <w:rsid w:val="002D45C3"/>
    <w:rsid w:val="00343A88"/>
    <w:rsid w:val="00345F97"/>
    <w:rsid w:val="003B50EA"/>
    <w:rsid w:val="003F2641"/>
    <w:rsid w:val="004046EF"/>
    <w:rsid w:val="00411F3B"/>
    <w:rsid w:val="00474B6E"/>
    <w:rsid w:val="004A3950"/>
    <w:rsid w:val="004C33EF"/>
    <w:rsid w:val="004C6CCA"/>
    <w:rsid w:val="004C73C1"/>
    <w:rsid w:val="004E027E"/>
    <w:rsid w:val="0050139D"/>
    <w:rsid w:val="005120B6"/>
    <w:rsid w:val="0051262F"/>
    <w:rsid w:val="0054347A"/>
    <w:rsid w:val="00560D5A"/>
    <w:rsid w:val="005B01B5"/>
    <w:rsid w:val="005F4682"/>
    <w:rsid w:val="00605AFC"/>
    <w:rsid w:val="00716047"/>
    <w:rsid w:val="008229FC"/>
    <w:rsid w:val="0092125F"/>
    <w:rsid w:val="009601B8"/>
    <w:rsid w:val="00A12064"/>
    <w:rsid w:val="00A73844"/>
    <w:rsid w:val="00A755DB"/>
    <w:rsid w:val="00A843C0"/>
    <w:rsid w:val="00A96747"/>
    <w:rsid w:val="00AB2C0C"/>
    <w:rsid w:val="00AF2536"/>
    <w:rsid w:val="00AF30C1"/>
    <w:rsid w:val="00B5529C"/>
    <w:rsid w:val="00C27D3F"/>
    <w:rsid w:val="00C62548"/>
    <w:rsid w:val="00C63ACE"/>
    <w:rsid w:val="00C94E46"/>
    <w:rsid w:val="00C9568D"/>
    <w:rsid w:val="00CC5F5E"/>
    <w:rsid w:val="00CF1821"/>
    <w:rsid w:val="00D01EAC"/>
    <w:rsid w:val="00D117CF"/>
    <w:rsid w:val="00D653DA"/>
    <w:rsid w:val="00E06E5F"/>
    <w:rsid w:val="00E34348"/>
    <w:rsid w:val="00E40BEC"/>
    <w:rsid w:val="00E413C2"/>
    <w:rsid w:val="00E61411"/>
    <w:rsid w:val="00EC3CDA"/>
    <w:rsid w:val="00EF26BE"/>
    <w:rsid w:val="00EF50C7"/>
    <w:rsid w:val="00F8359C"/>
    <w:rsid w:val="00FB3D9A"/>
    <w:rsid w:val="00FC5500"/>
    <w:rsid w:val="00FF393D"/>
    <w:rsid w:val="0113686C"/>
    <w:rsid w:val="0BBD2AD9"/>
    <w:rsid w:val="17361E60"/>
    <w:rsid w:val="1AB1581C"/>
    <w:rsid w:val="1D5A442A"/>
    <w:rsid w:val="212671F6"/>
    <w:rsid w:val="29C16E74"/>
    <w:rsid w:val="390A6409"/>
    <w:rsid w:val="39B40C73"/>
    <w:rsid w:val="3A4B3491"/>
    <w:rsid w:val="4A890936"/>
    <w:rsid w:val="4FD77757"/>
    <w:rsid w:val="503559AD"/>
    <w:rsid w:val="508C56C3"/>
    <w:rsid w:val="51877708"/>
    <w:rsid w:val="53C974A9"/>
    <w:rsid w:val="562D1ACF"/>
    <w:rsid w:val="5D886C0E"/>
    <w:rsid w:val="607532CF"/>
    <w:rsid w:val="60A64513"/>
    <w:rsid w:val="62A3164B"/>
    <w:rsid w:val="70197B71"/>
    <w:rsid w:val="706253C3"/>
    <w:rsid w:val="78F9279D"/>
    <w:rsid w:val="7E7B4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eastAsia="黑体"/>
      <w:b/>
      <w:bCs/>
      <w:kern w:val="44"/>
      <w:szCs w:val="44"/>
    </w:rPr>
  </w:style>
  <w:style w:type="paragraph" w:styleId="3">
    <w:name w:val="heading 2"/>
    <w:basedOn w:val="1"/>
    <w:next w:val="1"/>
    <w:link w:val="12"/>
    <w:unhideWhenUsed/>
    <w:qFormat/>
    <w:uiPriority w:val="0"/>
    <w:pPr>
      <w:keepNext/>
      <w:keepLines/>
      <w:spacing w:before="260" w:after="260" w:line="416" w:lineRule="auto"/>
      <w:outlineLvl w:val="1"/>
    </w:pPr>
    <w:rPr>
      <w:rFonts w:eastAsia="楷体_GB2312" w:asciiTheme="majorHAnsi" w:hAnsiTheme="majorHAnsi" w:cstheme="majorBidi"/>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0"/>
    <w:pPr>
      <w:jc w:val="left"/>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10"/>
    <w:pPr>
      <w:spacing w:before="240" w:after="60"/>
      <w:jc w:val="center"/>
      <w:outlineLvl w:val="0"/>
    </w:pPr>
    <w:rPr>
      <w:rFonts w:asciiTheme="majorHAnsi" w:hAnsiTheme="majorHAnsi" w:eastAsiaTheme="majorEastAsia" w:cstheme="majorBidi"/>
      <w:b/>
      <w:bCs/>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2"/>
    <w:qFormat/>
    <w:uiPriority w:val="0"/>
    <w:rPr>
      <w:rFonts w:eastAsia="黑体" w:asciiTheme="minorHAnsi" w:hAnsiTheme="minorHAnsi" w:cstheme="minorBidi"/>
      <w:b/>
      <w:bCs/>
      <w:kern w:val="44"/>
      <w:sz w:val="32"/>
      <w:szCs w:val="44"/>
    </w:rPr>
  </w:style>
  <w:style w:type="character" w:customStyle="1" w:styleId="12">
    <w:name w:val="标题 2 字符"/>
    <w:basedOn w:val="10"/>
    <w:link w:val="3"/>
    <w:qFormat/>
    <w:uiPriority w:val="0"/>
    <w:rPr>
      <w:rFonts w:eastAsia="楷体_GB2312" w:asciiTheme="majorHAnsi" w:hAnsiTheme="majorHAnsi" w:cstheme="majorBidi"/>
      <w:b/>
      <w:bCs/>
      <w:kern w:val="2"/>
      <w:sz w:val="32"/>
      <w:szCs w:val="32"/>
    </w:rPr>
  </w:style>
  <w:style w:type="character" w:customStyle="1" w:styleId="13">
    <w:name w:val="页眉 字符"/>
    <w:basedOn w:val="10"/>
    <w:link w:val="6"/>
    <w:qFormat/>
    <w:uiPriority w:val="0"/>
    <w:rPr>
      <w:rFonts w:eastAsia="仿宋_GB2312" w:asciiTheme="minorHAnsi" w:hAnsiTheme="minorHAnsi" w:cstheme="minorBidi"/>
      <w:kern w:val="2"/>
      <w:sz w:val="18"/>
      <w:szCs w:val="18"/>
    </w:rPr>
  </w:style>
  <w:style w:type="character" w:customStyle="1" w:styleId="14">
    <w:name w:val="页脚 字符"/>
    <w:basedOn w:val="10"/>
    <w:link w:val="5"/>
    <w:qFormat/>
    <w:uiPriority w:val="99"/>
    <w:rPr>
      <w:rFonts w:eastAsia="仿宋_GB2312" w:asciiTheme="minorHAnsi" w:hAnsiTheme="minorHAnsi" w:cstheme="minorBidi"/>
      <w:kern w:val="2"/>
      <w:sz w:val="18"/>
      <w:szCs w:val="18"/>
    </w:rPr>
  </w:style>
  <w:style w:type="character" w:customStyle="1" w:styleId="15">
    <w:name w:val="批注文字 字符"/>
    <w:basedOn w:val="10"/>
    <w:link w:val="4"/>
    <w:qFormat/>
    <w:uiPriority w:val="0"/>
    <w:rPr>
      <w:rFonts w:eastAsia="仿宋_GB2312" w:asciiTheme="minorHAnsi" w:hAnsiTheme="minorHAnsi" w:cstheme="minorBidi"/>
      <w:kern w:val="2"/>
      <w:sz w:val="32"/>
      <w:szCs w:val="22"/>
    </w:rPr>
  </w:style>
  <w:style w:type="paragraph" w:styleId="16">
    <w:name w:val="List Paragraph"/>
    <w:basedOn w:val="1"/>
    <w:qFormat/>
    <w:uiPriority w:val="99"/>
    <w:pPr>
      <w:ind w:firstLine="420" w:firstLineChars="200"/>
    </w:pPr>
  </w:style>
  <w:style w:type="paragraph" w:customStyle="1" w:styleId="17">
    <w:name w:val="Revision"/>
    <w:hidden/>
    <w:semiHidden/>
    <w:qFormat/>
    <w:uiPriority w:val="99"/>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412</Words>
  <Characters>2349</Characters>
  <Lines>19</Lines>
  <Paragraphs>5</Paragraphs>
  <TotalTime>148</TotalTime>
  <ScaleCrop>false</ScaleCrop>
  <LinksUpToDate>false</LinksUpToDate>
  <CharactersWithSpaces>2756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2022-01-14T01:45:00Z</dcterms:created>
  <dc:creator>雷鸣</dc:creator>
  <cp:lastModifiedBy>ZY</cp:lastModifiedBy>
  <dcterms:modified xsi:type="dcterms:W3CDTF">2024-04-25T02:45:10Z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8BECA66F49414E158DEA839450FAA099_13</vt:lpwstr>
  </property>
</Properties>
</file>